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109</w:t>
      </w:r>
      <w:r w:rsidR="00690EBC">
        <w:rPr>
          <w:rFonts w:ascii="Arial" w:hAnsi="Arial" w:cs="Arial"/>
          <w:b/>
          <w:sz w:val="22"/>
          <w:szCs w:val="22"/>
          <w:lang w:val="es-MX"/>
        </w:rPr>
        <w:t>.-</w:t>
      </w:r>
      <w:r w:rsidRPr="002B7E4F">
        <w:rPr>
          <w:rFonts w:ascii="Arial" w:hAnsi="Arial" w:cs="Arial"/>
          <w:b/>
          <w:sz w:val="22"/>
          <w:szCs w:val="22"/>
          <w:lang w:val="es-MX"/>
        </w:rPr>
        <w:t xml:space="preserve"> ROCIADORES PARA ESCALERAS</w:t>
      </w:r>
    </w:p>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Sistema de Rociadores para la escaleras eléctricas, formado por: Rociadores  de Ø 1/2", K=80, 79 º C, tipo montante en bronce  Válvula de Corte de Ø 2".  Tubería de acero negro por soldadura. Incluye accesorios, soportes, soldadura 6010 y 7018, pintura y mano de obra.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8"/>
        </w:numPr>
        <w:rPr>
          <w:rFonts w:ascii="Arial" w:hAnsi="Arial" w:cs="Arial"/>
          <w:b/>
          <w:sz w:val="22"/>
          <w:szCs w:val="22"/>
        </w:rPr>
      </w:pPr>
      <w:bookmarkStart w:id="0" w:name="_Toc368671539"/>
      <w:r w:rsidRPr="002B7E4F">
        <w:rPr>
          <w:rFonts w:ascii="Arial" w:hAnsi="Arial" w:cs="Arial"/>
          <w:b/>
          <w:sz w:val="22"/>
          <w:szCs w:val="22"/>
        </w:rPr>
        <w:t>Características Técnicas</w:t>
      </w:r>
      <w:bookmarkEnd w:id="0"/>
    </w:p>
    <w:p w:rsidR="002B7E4F" w:rsidRPr="002B7E4F" w:rsidRDefault="002B7E4F" w:rsidP="00462F48">
      <w:pPr>
        <w:pStyle w:val="TITULO-4"/>
        <w:numPr>
          <w:ilvl w:val="3"/>
          <w:numId w:val="38"/>
        </w:numPr>
        <w:rPr>
          <w:spacing w:val="-1"/>
          <w:sz w:val="22"/>
          <w:szCs w:val="22"/>
        </w:rPr>
      </w:pPr>
      <w:bookmarkStart w:id="1" w:name="_Toc368671540"/>
      <w:r w:rsidRPr="002B7E4F">
        <w:rPr>
          <w:spacing w:val="-1"/>
          <w:sz w:val="22"/>
          <w:szCs w:val="22"/>
        </w:rPr>
        <w:t>Base de selección.</w:t>
      </w:r>
      <w:bookmarkEnd w:id="1"/>
    </w:p>
    <w:p w:rsidR="002B7E4F" w:rsidRPr="002B7E4F" w:rsidRDefault="002B7E4F" w:rsidP="002B7E4F">
      <w:pPr>
        <w:jc w:val="both"/>
        <w:rPr>
          <w:rFonts w:ascii="Arial" w:hAnsi="Arial" w:cs="Arial"/>
          <w:sz w:val="22"/>
          <w:szCs w:val="22"/>
        </w:rPr>
      </w:pPr>
    </w:p>
    <w:p w:rsidR="002B7E4F" w:rsidRPr="002B7E4F" w:rsidRDefault="00A46EAD" w:rsidP="002B7E4F">
      <w:pPr>
        <w:jc w:val="both"/>
        <w:rPr>
          <w:rFonts w:ascii="Arial" w:hAnsi="Arial" w:cs="Arial"/>
          <w:sz w:val="22"/>
          <w:szCs w:val="22"/>
        </w:rPr>
      </w:pPr>
      <w:r>
        <w:rPr>
          <w:rFonts w:ascii="Arial" w:hAnsi="Arial" w:cs="Arial"/>
          <w:noProof/>
          <w:sz w:val="22"/>
          <w:szCs w:val="22"/>
          <w:lang w:eastAsia="en-US"/>
        </w:rPr>
        <w:lastRenderedPageBreak/>
        <w:pict>
          <v:rect id="_x0000_s1048" style="position:absolute;left:0;text-align:left;margin-left:228.45pt;margin-top:421.75pt;width:209.25pt;height:12pt;z-index:251692032" filled="f" strokecolor="#c0504d" strokeweight="2.5pt">
            <v:shadow color="#868686"/>
          </v:rect>
        </w:pict>
      </w:r>
      <w:r w:rsidR="00805595">
        <w:rPr>
          <w:noProof/>
          <w:lang w:val="es-MX" w:eastAsia="es-MX"/>
        </w:rPr>
        <w:drawing>
          <wp:inline distT="0" distB="0" distL="0" distR="0" wp14:anchorId="15393966" wp14:editId="51EF2D9B">
            <wp:extent cx="5612130" cy="6902450"/>
            <wp:effectExtent l="0" t="0" r="7620" b="0"/>
            <wp:docPr id="24" name="23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3 Imagen"/>
                    <pic:cNvPicPr>
                      <a:picLocks noChangeAspect="1"/>
                    </pic:cNvPicPr>
                  </pic:nvPicPr>
                  <pic:blipFill>
                    <a:blip r:embed="rId9"/>
                    <a:stretch>
                      <a:fillRect/>
                    </a:stretch>
                  </pic:blipFill>
                  <pic:spPr>
                    <a:xfrm>
                      <a:off x="0" y="0"/>
                      <a:ext cx="5612130" cy="6902450"/>
                    </a:xfrm>
                    <a:prstGeom prst="rect">
                      <a:avLst/>
                    </a:prstGeom>
                  </pic:spPr>
                </pic:pic>
              </a:graphicData>
            </a:graphic>
          </wp:inline>
        </w:drawing>
      </w:r>
    </w:p>
    <w:p w:rsidR="002B7E4F" w:rsidRPr="002B7E4F" w:rsidRDefault="00805595" w:rsidP="002B7E4F">
      <w:pPr>
        <w:jc w:val="both"/>
        <w:rPr>
          <w:rFonts w:ascii="Arial" w:hAnsi="Arial" w:cs="Arial"/>
          <w:sz w:val="22"/>
          <w:szCs w:val="22"/>
        </w:rPr>
      </w:pPr>
      <w:r>
        <w:rPr>
          <w:noProof/>
          <w:lang w:val="es-MX" w:eastAsia="es-MX"/>
        </w:rPr>
        <w:lastRenderedPageBreak/>
        <w:drawing>
          <wp:inline distT="0" distB="0" distL="0" distR="0" wp14:anchorId="4BC230A8" wp14:editId="464894FE">
            <wp:extent cx="5486400" cy="7040880"/>
            <wp:effectExtent l="0" t="0" r="0" b="7620"/>
            <wp:docPr id="26" name="25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25 Imagen"/>
                    <pic:cNvPicPr>
                      <a:picLocks noChangeAspect="1"/>
                    </pic:cNvPicPr>
                  </pic:nvPicPr>
                  <pic:blipFill>
                    <a:blip r:embed="rId10"/>
                    <a:stretch>
                      <a:fillRect/>
                    </a:stretch>
                  </pic:blipFill>
                  <pic:spPr>
                    <a:xfrm>
                      <a:off x="0" y="0"/>
                      <a:ext cx="5486400" cy="7040880"/>
                    </a:xfrm>
                    <a:prstGeom prst="rect">
                      <a:avLst/>
                    </a:prstGeom>
                  </pic:spPr>
                </pic:pic>
              </a:graphicData>
            </a:graphic>
          </wp:inline>
        </w:drawing>
      </w:r>
    </w:p>
    <w:p w:rsidR="002B7E4F" w:rsidRPr="002B7E4F" w:rsidRDefault="00805595" w:rsidP="002B7E4F">
      <w:pPr>
        <w:jc w:val="both"/>
        <w:rPr>
          <w:rFonts w:ascii="Arial" w:hAnsi="Arial" w:cs="Arial"/>
          <w:sz w:val="22"/>
          <w:szCs w:val="22"/>
        </w:rPr>
      </w:pPr>
      <w:r>
        <w:rPr>
          <w:noProof/>
          <w:lang w:val="es-MX" w:eastAsia="es-MX"/>
        </w:rPr>
        <w:lastRenderedPageBreak/>
        <w:drawing>
          <wp:inline distT="0" distB="0" distL="0" distR="0" wp14:anchorId="0410D28F" wp14:editId="50B3B143">
            <wp:extent cx="5516880" cy="7101840"/>
            <wp:effectExtent l="0" t="0" r="7620" b="3810"/>
            <wp:docPr id="28" name="27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27 Imagen"/>
                    <pic:cNvPicPr>
                      <a:picLocks noChangeAspect="1"/>
                    </pic:cNvPicPr>
                  </pic:nvPicPr>
                  <pic:blipFill>
                    <a:blip r:embed="rId11"/>
                    <a:stretch>
                      <a:fillRect/>
                    </a:stretch>
                  </pic:blipFill>
                  <pic:spPr>
                    <a:xfrm>
                      <a:off x="0" y="0"/>
                      <a:ext cx="5516880" cy="7101840"/>
                    </a:xfrm>
                    <a:prstGeom prst="rect">
                      <a:avLst/>
                    </a:prstGeom>
                  </pic:spPr>
                </pic:pic>
              </a:graphicData>
            </a:graphic>
          </wp:inline>
        </w:drawing>
      </w:r>
      <w:bookmarkStart w:id="2" w:name="_GoBack"/>
      <w:bookmarkEnd w:id="2"/>
    </w:p>
    <w:p w:rsidR="002B7E4F" w:rsidRPr="002B7E4F" w:rsidRDefault="002B7E4F" w:rsidP="00462F48">
      <w:pPr>
        <w:pStyle w:val="TITULO-4"/>
        <w:numPr>
          <w:ilvl w:val="3"/>
          <w:numId w:val="38"/>
        </w:numPr>
        <w:rPr>
          <w:spacing w:val="-1"/>
          <w:sz w:val="22"/>
          <w:szCs w:val="22"/>
        </w:rPr>
      </w:pPr>
      <w:bookmarkStart w:id="3" w:name="_Toc368671541"/>
      <w:r w:rsidRPr="002B7E4F">
        <w:rPr>
          <w:spacing w:val="-1"/>
          <w:sz w:val="22"/>
          <w:szCs w:val="22"/>
        </w:rPr>
        <w:lastRenderedPageBreak/>
        <w:t>Operación y control.</w:t>
      </w:r>
      <w:bookmarkEnd w:id="3"/>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operación y el control de los rociadores del sistema de protección contra incendio deberán ser de manera remota y automática. </w:t>
      </w:r>
    </w:p>
    <w:p w:rsidR="002B7E4F" w:rsidRPr="002B7E4F" w:rsidRDefault="002B7E4F" w:rsidP="002B7E4F">
      <w:pPr>
        <w:jc w:val="both"/>
        <w:rPr>
          <w:rFonts w:ascii="Arial" w:hAnsi="Arial" w:cs="Arial"/>
          <w:sz w:val="22"/>
          <w:szCs w:val="22"/>
        </w:rPr>
      </w:pPr>
      <w:r w:rsidRPr="002B7E4F">
        <w:rPr>
          <w:rFonts w:ascii="Arial" w:hAnsi="Arial" w:cs="Arial"/>
          <w:sz w:val="22"/>
          <w:szCs w:val="22"/>
        </w:rPr>
        <w:t>La activación de dicho sistema deberá de ser capaz de ser monitoreado desde el centro de control o bien desde el local jefe de estación.</w:t>
      </w:r>
    </w:p>
    <w:p w:rsidR="002B7E4F" w:rsidRPr="002B7E4F" w:rsidRDefault="002B7E4F" w:rsidP="002B7E4F">
      <w:pPr>
        <w:jc w:val="both"/>
        <w:rPr>
          <w:rFonts w:ascii="Arial" w:hAnsi="Arial" w:cs="Arial"/>
          <w:sz w:val="22"/>
          <w:szCs w:val="22"/>
          <w:lang w:eastAsia="ca-ES"/>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8"/>
        </w:numPr>
        <w:ind w:left="851" w:hanging="851"/>
        <w:rPr>
          <w:rFonts w:ascii="Arial" w:hAnsi="Arial" w:cs="Arial"/>
          <w:b/>
          <w:sz w:val="22"/>
          <w:szCs w:val="22"/>
        </w:rPr>
      </w:pPr>
      <w:bookmarkStart w:id="4" w:name="_Toc368671542"/>
      <w:r w:rsidRPr="002B7E4F">
        <w:rPr>
          <w:rFonts w:ascii="Arial" w:hAnsi="Arial" w:cs="Arial"/>
          <w:b/>
          <w:sz w:val="22"/>
          <w:szCs w:val="22"/>
        </w:rPr>
        <w:t>Ejecución de Obra</w:t>
      </w:r>
      <w:bookmarkEnd w:id="4"/>
    </w:p>
    <w:p w:rsidR="002B7E4F" w:rsidRPr="002B7E4F" w:rsidRDefault="002B7E4F" w:rsidP="00462F48">
      <w:pPr>
        <w:pStyle w:val="TITULO-4"/>
        <w:numPr>
          <w:ilvl w:val="3"/>
          <w:numId w:val="38"/>
        </w:numPr>
        <w:rPr>
          <w:sz w:val="22"/>
          <w:szCs w:val="22"/>
        </w:rPr>
      </w:pPr>
      <w:bookmarkStart w:id="5" w:name="_Toc368671543"/>
      <w:r w:rsidRPr="002B7E4F">
        <w:rPr>
          <w:sz w:val="22"/>
          <w:szCs w:val="22"/>
        </w:rPr>
        <w:t>Trabajos preliminares</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rociadores para protección contra incendio para los diferentes cuartos de máquinas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instalación de los equipos y desde el periodo de fabricación de las mismas. </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8"/>
        </w:numPr>
        <w:rPr>
          <w:sz w:val="22"/>
          <w:szCs w:val="22"/>
        </w:rPr>
      </w:pPr>
      <w:bookmarkStart w:id="6" w:name="_Toc368671544"/>
      <w:r w:rsidRPr="002B7E4F">
        <w:rPr>
          <w:sz w:val="22"/>
          <w:szCs w:val="22"/>
        </w:rPr>
        <w:t>Almacenaje y transporte.</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equipo entre en contacto con humedad o polvo.</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equipos de bombeo.</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adecuadas para que el equipo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
        </w:numPr>
        <w:rPr>
          <w:sz w:val="22"/>
          <w:szCs w:val="22"/>
        </w:rPr>
      </w:pPr>
      <w:bookmarkStart w:id="7" w:name="_Toc368671545"/>
      <w:r w:rsidRPr="002B7E4F">
        <w:rPr>
          <w:sz w:val="22"/>
          <w:szCs w:val="22"/>
        </w:rPr>
        <w:t>Instalación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 los equipos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El suministrador de los equipos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suministrador de rociadores para protección contra incendio,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8"/>
        </w:numPr>
        <w:ind w:left="851" w:hanging="851"/>
        <w:rPr>
          <w:rFonts w:ascii="Arial" w:hAnsi="Arial" w:cs="Arial"/>
          <w:b/>
          <w:sz w:val="22"/>
          <w:szCs w:val="22"/>
        </w:rPr>
      </w:pPr>
      <w:bookmarkStart w:id="8" w:name="_Toc368671546"/>
      <w:r w:rsidRPr="002B7E4F">
        <w:rPr>
          <w:rFonts w:ascii="Arial" w:hAnsi="Arial" w:cs="Arial"/>
          <w:b/>
          <w:sz w:val="22"/>
          <w:szCs w:val="22"/>
        </w:rPr>
        <w:t>Medición</w:t>
      </w:r>
      <w:bookmarkEnd w:id="8"/>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rociadores para protección contra incendio se medirán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Conexiones de  tableros de control, limpieza del área de trabajo. También se incluirán en el presente concepto todos los arreglos de tuberías y accesorios que permitan el correcto funcionamiento de dichos equipos. Se deberán de </w:t>
      </w:r>
      <w:proofErr w:type="spellStart"/>
      <w:r w:rsidRPr="002B7E4F">
        <w:rPr>
          <w:rFonts w:ascii="Arial" w:hAnsi="Arial" w:cs="Arial"/>
          <w:sz w:val="22"/>
          <w:szCs w:val="22"/>
        </w:rPr>
        <w:t>conemplar</w:t>
      </w:r>
      <w:proofErr w:type="spellEnd"/>
      <w:r w:rsidRPr="002B7E4F">
        <w:rPr>
          <w:rFonts w:ascii="Arial" w:hAnsi="Arial" w:cs="Arial"/>
          <w:sz w:val="22"/>
          <w:szCs w:val="22"/>
        </w:rPr>
        <w:t xml:space="preserve"> todas las conexiones necesarias en la instalación de los tableros de control. Se contemplarán además todas las piezas especiales que conlleve la conexión de dichos equipos, soportes de tuberías tanto a nivel de piso o bien </w:t>
      </w:r>
      <w:proofErr w:type="spellStart"/>
      <w:r w:rsidRPr="002B7E4F">
        <w:rPr>
          <w:rFonts w:ascii="Arial" w:hAnsi="Arial" w:cs="Arial"/>
          <w:sz w:val="22"/>
          <w:szCs w:val="22"/>
        </w:rPr>
        <w:t>colganteos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especial para los equipos o bien para las tuberías, conexiones, tomas todo de acuerdo a lo indicado por el proyecto ejecutivo.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38"/>
        </w:numPr>
        <w:ind w:left="851" w:hanging="851"/>
        <w:rPr>
          <w:rFonts w:ascii="Arial" w:hAnsi="Arial" w:cs="Arial"/>
          <w:b/>
          <w:sz w:val="22"/>
          <w:szCs w:val="22"/>
        </w:rPr>
      </w:pPr>
      <w:bookmarkStart w:id="9" w:name="_Toc368671547"/>
      <w:r w:rsidRPr="002B7E4F">
        <w:rPr>
          <w:rFonts w:ascii="Arial" w:hAnsi="Arial" w:cs="Arial"/>
          <w:b/>
          <w:sz w:val="22"/>
          <w:szCs w:val="22"/>
        </w:rPr>
        <w:t>Pruebas y Ensayo</w:t>
      </w:r>
      <w:bookmarkEnd w:id="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suministrador y aprobado por la DO y bajo los lineamientos que marquen las normativas vigentes y aplicables.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rociadores para protección contra incendio </w:t>
      </w:r>
      <w:proofErr w:type="gramStart"/>
      <w:r w:rsidRPr="002B7E4F">
        <w:rPr>
          <w:rFonts w:ascii="Arial" w:hAnsi="Arial" w:cs="Arial"/>
          <w:sz w:val="22"/>
          <w:szCs w:val="22"/>
        </w:rPr>
        <w:t>deberá</w:t>
      </w:r>
      <w:proofErr w:type="gramEnd"/>
      <w:r w:rsidRPr="002B7E4F">
        <w:rPr>
          <w:rFonts w:ascii="Arial" w:hAnsi="Arial" w:cs="Arial"/>
          <w:sz w:val="22"/>
          <w:szCs w:val="22"/>
        </w:rPr>
        <w:t xml:space="preserve"> ser probados como mínimo cumplimiento las pruebas en fábrica y una vez ya instalado deberá de operar en condiciones normales, de forma automática y manual. Cada uno de estos regímenes de </w:t>
      </w:r>
      <w:r w:rsidRPr="002B7E4F">
        <w:rPr>
          <w:rFonts w:ascii="Arial" w:hAnsi="Arial" w:cs="Arial"/>
          <w:sz w:val="22"/>
          <w:szCs w:val="22"/>
        </w:rPr>
        <w:lastRenderedPageBreak/>
        <w:t>operación deberá ser estructurado por el suministrador de los equipos en conjunción con la dirección de obra y en cumplimiento de lo establecido en las normas nacionales e internacionales.</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de presentar certificados de las pruebas de fábrica realizadas a los equipos de acuerdo a lo indicado por las normativas aplicables y bajo los estándares internacionales.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8"/>
        </w:numPr>
        <w:rPr>
          <w:sz w:val="22"/>
          <w:szCs w:val="22"/>
        </w:rPr>
      </w:pPr>
      <w:bookmarkStart w:id="10" w:name="_Toc368671548"/>
      <w:r w:rsidRPr="002B7E4F">
        <w:rPr>
          <w:sz w:val="22"/>
          <w:szCs w:val="22"/>
        </w:rPr>
        <w:t>Garantías de calidad</w:t>
      </w:r>
      <w:bookmarkEnd w:id="10"/>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8"/>
        </w:numPr>
        <w:rPr>
          <w:sz w:val="22"/>
          <w:szCs w:val="22"/>
        </w:rPr>
      </w:pPr>
      <w:bookmarkStart w:id="11" w:name="_Toc368671549"/>
      <w:r w:rsidRPr="002B7E4F">
        <w:rPr>
          <w:sz w:val="22"/>
          <w:szCs w:val="22"/>
        </w:rPr>
        <w:t>Garantías técnicas</w:t>
      </w:r>
      <w:bookmarkEnd w:id="11"/>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8"/>
        </w:numPr>
        <w:ind w:left="851" w:hanging="851"/>
        <w:rPr>
          <w:rFonts w:ascii="Arial" w:hAnsi="Arial" w:cs="Arial"/>
          <w:b/>
          <w:sz w:val="22"/>
          <w:szCs w:val="22"/>
        </w:rPr>
      </w:pPr>
      <w:bookmarkStart w:id="12" w:name="_Toc368671550"/>
      <w:r w:rsidRPr="002B7E4F">
        <w:rPr>
          <w:rFonts w:ascii="Arial" w:hAnsi="Arial" w:cs="Arial"/>
          <w:b/>
          <w:sz w:val="22"/>
          <w:szCs w:val="22"/>
        </w:rPr>
        <w:t>Base de Pago</w:t>
      </w:r>
      <w:bookmarkEnd w:id="1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w:t>
      </w:r>
      <w:r w:rsidRPr="002B7E4F">
        <w:rPr>
          <w:rFonts w:ascii="Arial" w:hAnsi="Arial" w:cs="Arial"/>
          <w:sz w:val="22"/>
          <w:szCs w:val="22"/>
        </w:rPr>
        <w:lastRenderedPageBreak/>
        <w:t xml:space="preserve">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2"/>
      <w:footerReference w:type="even" r:id="rId13"/>
      <w:footerReference w:type="default" r:id="rId14"/>
      <w:footerReference w:type="first" r:id="rId15"/>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EAD" w:rsidRDefault="00A46EAD">
      <w:r>
        <w:separator/>
      </w:r>
    </w:p>
  </w:endnote>
  <w:endnote w:type="continuationSeparator" w:id="0">
    <w:p w:rsidR="00A46EAD" w:rsidRDefault="00A46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805595">
      <w:rPr>
        <w:rStyle w:val="Nmerodepgina"/>
        <w:noProof/>
      </w:rPr>
      <w:t>6</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EAD" w:rsidRDefault="00A46EAD">
      <w:r>
        <w:separator/>
      </w:r>
    </w:p>
  </w:footnote>
  <w:footnote w:type="continuationSeparator" w:id="0">
    <w:p w:rsidR="00A46EAD" w:rsidRDefault="00A46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595"/>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6EAD"/>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4BED"/>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7C32F-FF35-4E79-90DB-2418FAEC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1316</Words>
  <Characters>7244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8543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Lizet Gonzalez Rios</cp:lastModifiedBy>
  <cp:revision>3</cp:revision>
  <cp:lastPrinted>2014-02-10T15:57:00Z</cp:lastPrinted>
  <dcterms:created xsi:type="dcterms:W3CDTF">2014-04-10T22:32:00Z</dcterms:created>
  <dcterms:modified xsi:type="dcterms:W3CDTF">2014-05-16T18:59:00Z</dcterms:modified>
</cp:coreProperties>
</file>